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0C" w:rsidRPr="00017E0C" w:rsidRDefault="00017E0C" w:rsidP="00017E0C">
      <w:pPr>
        <w:spacing w:before="100" w:beforeAutospacing="1" w:after="100" w:afterAutospacing="1" w:line="240" w:lineRule="auto"/>
        <w:outlineLvl w:val="0"/>
        <w:rPr>
          <w:rFonts w:ascii="Times New Roman" w:eastAsia="Times New Roman" w:hAnsi="Times New Roman" w:cs="Times New Roman"/>
          <w:kern w:val="36"/>
          <w:sz w:val="48"/>
          <w:szCs w:val="48"/>
        </w:rPr>
      </w:pPr>
      <w:r w:rsidRPr="00017E0C">
        <w:rPr>
          <w:rFonts w:ascii="Times New Roman" w:eastAsia="Times New Roman" w:hAnsi="Times New Roman" w:cs="Times New Roman"/>
          <w:kern w:val="36"/>
          <w:sz w:val="48"/>
          <w:szCs w:val="48"/>
        </w:rPr>
        <w:t>How Much You Should Have Saved (By Age)</w:t>
      </w:r>
    </w:p>
    <w:p w:rsidR="00017E0C" w:rsidRPr="00017E0C" w:rsidRDefault="00017E0C" w:rsidP="00017E0C">
      <w:pPr>
        <w:shd w:val="clear" w:color="auto" w:fill="FFFFFF"/>
        <w:spacing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Knowing how much you should save toward retirement at each stage of your life will help you answer that all-important question: “Have I put aside enough?” Here are some useful formulas that can help you set age-based savings goals on the road to retirement. (For more see: </w:t>
      </w:r>
      <w:hyperlink r:id="rId5" w:history="1">
        <w:r w:rsidRPr="00017E0C">
          <w:rPr>
            <w:rFonts w:ascii="Arial" w:eastAsia="Times New Roman" w:hAnsi="Arial" w:cs="Arial"/>
            <w:i/>
            <w:iCs/>
            <w:sz w:val="26"/>
            <w:szCs w:val="26"/>
            <w:u w:val="single"/>
          </w:rPr>
          <w:t>Set Specific Goals to Manage Your Wealth Better</w:t>
        </w:r>
      </w:hyperlink>
      <w:r w:rsidRPr="00017E0C">
        <w:rPr>
          <w:rFonts w:ascii="Arial" w:eastAsia="Times New Roman" w:hAnsi="Arial" w:cs="Arial"/>
          <w:sz w:val="26"/>
          <w:szCs w:val="26"/>
        </w:rPr>
        <w:t>.)</w:t>
      </w:r>
    </w:p>
    <w:p w:rsidR="00017E0C" w:rsidRPr="00017E0C" w:rsidRDefault="00017E0C" w:rsidP="00017E0C">
      <w:pPr>
        <w:shd w:val="clear" w:color="auto" w:fill="FFFFFF"/>
        <w:spacing w:after="0" w:line="240" w:lineRule="auto"/>
        <w:outlineLvl w:val="2"/>
        <w:rPr>
          <w:rFonts w:ascii="Arial" w:eastAsia="Times New Roman" w:hAnsi="Arial" w:cs="Arial"/>
          <w:sz w:val="27"/>
          <w:szCs w:val="27"/>
        </w:rPr>
      </w:pPr>
      <w:r w:rsidRPr="00017E0C">
        <w:rPr>
          <w:rFonts w:ascii="Arial" w:eastAsia="Times New Roman" w:hAnsi="Arial" w:cs="Arial"/>
          <w:sz w:val="27"/>
          <w:szCs w:val="27"/>
        </w:rPr>
        <w:t>Retirement Income: The 80% Rule</w:t>
      </w:r>
    </w:p>
    <w:p w:rsidR="00017E0C" w:rsidRPr="00017E0C" w:rsidRDefault="00017E0C" w:rsidP="00017E0C">
      <w:pPr>
        <w:shd w:val="clear" w:color="auto" w:fill="FFFFFF"/>
        <w:spacing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Most experts say your retirement income should be about 80% of your final pre-retirement salary. That means if you are making $100,000 annually at retirement, you will need an income of at least $80,000 per year to have a comfortable lifestyle after leaving the workforce. This amount can be adjusted up or down depending on other sources of income, such as Social Security, pensions, and part-time employment, as well as your health and your desired lifestyle.</w:t>
      </w:r>
    </w:p>
    <w:p w:rsidR="00017E0C" w:rsidRPr="00017E0C" w:rsidRDefault="00017E0C" w:rsidP="00017E0C">
      <w:pPr>
        <w:shd w:val="clear" w:color="auto" w:fill="FFFFFF"/>
        <w:spacing w:after="0" w:line="240" w:lineRule="auto"/>
        <w:outlineLvl w:val="2"/>
        <w:rPr>
          <w:rFonts w:ascii="Arial" w:eastAsia="Times New Roman" w:hAnsi="Arial" w:cs="Arial"/>
          <w:sz w:val="27"/>
          <w:szCs w:val="27"/>
        </w:rPr>
      </w:pPr>
      <w:r w:rsidRPr="00017E0C">
        <w:rPr>
          <w:rFonts w:ascii="Arial" w:eastAsia="Times New Roman" w:hAnsi="Arial" w:cs="Arial"/>
          <w:sz w:val="27"/>
          <w:szCs w:val="27"/>
        </w:rPr>
        <w:t>Total Savings: The 4% Rule</w:t>
      </w:r>
    </w:p>
    <w:p w:rsidR="00017E0C" w:rsidRPr="00017E0C" w:rsidRDefault="00017E0C" w:rsidP="00017E0C">
      <w:pPr>
        <w:shd w:val="clear" w:color="auto" w:fill="FFFFFF"/>
        <w:spacing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To determine the amount you will need to have saved to generate the retirement income you want, one easy-to-use formula calls for dividing your desired annual retirement income by 4%. To generate the $80,000 cited above, for example, you would need a nest egg at retirement of about $2 million. This assumes a 5% </w:t>
      </w:r>
      <w:hyperlink r:id="rId6" w:history="1">
        <w:r w:rsidRPr="00017E0C">
          <w:rPr>
            <w:rFonts w:ascii="Arial" w:eastAsia="Times New Roman" w:hAnsi="Arial" w:cs="Arial"/>
            <w:sz w:val="26"/>
            <w:szCs w:val="26"/>
            <w:u w:val="single"/>
          </w:rPr>
          <w:t>return on investments</w:t>
        </w:r>
      </w:hyperlink>
      <w:r w:rsidRPr="00017E0C">
        <w:rPr>
          <w:rFonts w:ascii="Arial" w:eastAsia="Times New Roman" w:hAnsi="Arial" w:cs="Arial"/>
          <w:sz w:val="26"/>
          <w:szCs w:val="26"/>
        </w:rPr>
        <w:t> (after taxes and inflation), no additional retirement income (i.e., Social Security) and a lifestyle similar to the one you would be living at the time you retire.</w:t>
      </w:r>
    </w:p>
    <w:p w:rsidR="00017E0C" w:rsidRPr="00017E0C" w:rsidRDefault="00017E0C" w:rsidP="00017E0C">
      <w:pPr>
        <w:shd w:val="clear" w:color="auto" w:fill="FFFFFF"/>
        <w:spacing w:after="0" w:line="240" w:lineRule="auto"/>
        <w:outlineLvl w:val="2"/>
        <w:rPr>
          <w:rFonts w:ascii="Arial" w:eastAsia="Times New Roman" w:hAnsi="Arial" w:cs="Arial"/>
          <w:sz w:val="27"/>
          <w:szCs w:val="27"/>
        </w:rPr>
      </w:pPr>
      <w:r w:rsidRPr="00017E0C">
        <w:rPr>
          <w:rFonts w:ascii="Arial" w:eastAsia="Times New Roman" w:hAnsi="Arial" w:cs="Arial"/>
          <w:sz w:val="27"/>
          <w:szCs w:val="27"/>
        </w:rPr>
        <w:t>Multiples of Your Salary</w:t>
      </w:r>
    </w:p>
    <w:p w:rsidR="00017E0C" w:rsidRPr="00017E0C" w:rsidRDefault="00017E0C" w:rsidP="00017E0C">
      <w:pPr>
        <w:shd w:val="clear" w:color="auto" w:fill="FFFFFF"/>
        <w:spacing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To figure out how much you should have accumulated at various stages of your life, thinking of a percentage or multiple of your salary at that time can be a very useful tool. Fidelity suggests you should have 50% of your annual salary in accumulated savings by age 30. This requires saving 15% of your </w:t>
      </w:r>
      <w:hyperlink r:id="rId7" w:history="1">
        <w:r w:rsidRPr="00017E0C">
          <w:rPr>
            <w:rFonts w:ascii="Arial" w:eastAsia="Times New Roman" w:hAnsi="Arial" w:cs="Arial"/>
            <w:sz w:val="26"/>
            <w:szCs w:val="26"/>
            <w:u w:val="single"/>
          </w:rPr>
          <w:t xml:space="preserve">gross </w:t>
        </w:r>
        <w:proofErr w:type="spellStart"/>
        <w:r w:rsidRPr="00017E0C">
          <w:rPr>
            <w:rFonts w:ascii="Arial" w:eastAsia="Times New Roman" w:hAnsi="Arial" w:cs="Arial"/>
            <w:sz w:val="26"/>
            <w:szCs w:val="26"/>
            <w:u w:val="single"/>
          </w:rPr>
          <w:t>salary</w:t>
        </w:r>
      </w:hyperlink>
      <w:r w:rsidRPr="00017E0C">
        <w:rPr>
          <w:rFonts w:ascii="Arial" w:eastAsia="Times New Roman" w:hAnsi="Arial" w:cs="Arial"/>
          <w:sz w:val="26"/>
          <w:szCs w:val="26"/>
        </w:rPr>
        <w:t>beginning</w:t>
      </w:r>
      <w:proofErr w:type="spellEnd"/>
      <w:r w:rsidRPr="00017E0C">
        <w:rPr>
          <w:rFonts w:ascii="Arial" w:eastAsia="Times New Roman" w:hAnsi="Arial" w:cs="Arial"/>
          <w:sz w:val="26"/>
          <w:szCs w:val="26"/>
        </w:rPr>
        <w:t xml:space="preserve"> at age 25 and investing at least 50% in stocks. Additional savings benchmarks are as follows:</w:t>
      </w:r>
    </w:p>
    <w:p w:rsidR="00017E0C" w:rsidRPr="00017E0C" w:rsidRDefault="00017E0C" w:rsidP="00017E0C">
      <w:pPr>
        <w:numPr>
          <w:ilvl w:val="0"/>
          <w:numId w:val="2"/>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40 – two times annual salary</w:t>
      </w:r>
    </w:p>
    <w:p w:rsidR="00017E0C" w:rsidRPr="00017E0C" w:rsidRDefault="00017E0C" w:rsidP="00017E0C">
      <w:pPr>
        <w:numPr>
          <w:ilvl w:val="0"/>
          <w:numId w:val="2"/>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50 – four times annual salary</w:t>
      </w:r>
    </w:p>
    <w:p w:rsidR="00017E0C" w:rsidRPr="00017E0C" w:rsidRDefault="00017E0C" w:rsidP="00017E0C">
      <w:pPr>
        <w:numPr>
          <w:ilvl w:val="0"/>
          <w:numId w:val="2"/>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60 – six times annual salary</w:t>
      </w:r>
    </w:p>
    <w:p w:rsidR="00017E0C" w:rsidRPr="00017E0C" w:rsidRDefault="00017E0C" w:rsidP="00017E0C">
      <w:pPr>
        <w:numPr>
          <w:ilvl w:val="0"/>
          <w:numId w:val="2"/>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67 – eight times annual salary</w:t>
      </w:r>
    </w:p>
    <w:p w:rsidR="00017E0C" w:rsidRDefault="00017E0C" w:rsidP="00017E0C">
      <w:pPr>
        <w:shd w:val="clear" w:color="auto" w:fill="FFFFFF"/>
        <w:spacing w:before="100" w:beforeAutospacing="1" w:after="100" w:afterAutospacing="1" w:line="240" w:lineRule="auto"/>
        <w:outlineLvl w:val="3"/>
        <w:rPr>
          <w:rFonts w:ascii="Arial" w:eastAsia="Times New Roman" w:hAnsi="Arial" w:cs="Arial"/>
          <w:b/>
          <w:bCs/>
          <w:color w:val="111111"/>
          <w:sz w:val="24"/>
          <w:szCs w:val="24"/>
        </w:rPr>
      </w:pPr>
    </w:p>
    <w:p w:rsidR="00017E0C" w:rsidRDefault="00017E0C" w:rsidP="00017E0C">
      <w:pPr>
        <w:shd w:val="clear" w:color="auto" w:fill="FFFFFF"/>
        <w:spacing w:before="100" w:beforeAutospacing="1" w:after="100" w:afterAutospacing="1" w:line="240" w:lineRule="auto"/>
        <w:outlineLvl w:val="3"/>
        <w:rPr>
          <w:rFonts w:ascii="Arial" w:eastAsia="Times New Roman" w:hAnsi="Arial" w:cs="Arial"/>
          <w:b/>
          <w:bCs/>
          <w:color w:val="111111"/>
          <w:sz w:val="24"/>
          <w:szCs w:val="24"/>
        </w:rPr>
      </w:pPr>
    </w:p>
    <w:p w:rsidR="00017E0C" w:rsidRDefault="00017E0C" w:rsidP="00017E0C">
      <w:pPr>
        <w:shd w:val="clear" w:color="auto" w:fill="FFFFFF"/>
        <w:spacing w:before="100" w:beforeAutospacing="1" w:after="100" w:afterAutospacing="1" w:line="240" w:lineRule="auto"/>
        <w:outlineLvl w:val="3"/>
        <w:rPr>
          <w:rFonts w:ascii="Arial" w:eastAsia="Times New Roman" w:hAnsi="Arial" w:cs="Arial"/>
          <w:b/>
          <w:bCs/>
          <w:color w:val="111111"/>
          <w:sz w:val="24"/>
          <w:szCs w:val="24"/>
        </w:rPr>
      </w:pPr>
    </w:p>
    <w:p w:rsidR="00017E0C" w:rsidRPr="00017E0C" w:rsidRDefault="00017E0C" w:rsidP="00017E0C">
      <w:pPr>
        <w:shd w:val="clear" w:color="auto" w:fill="FFFFFF"/>
        <w:spacing w:before="100" w:beforeAutospacing="1" w:after="100" w:afterAutospacing="1" w:line="240" w:lineRule="auto"/>
        <w:outlineLvl w:val="3"/>
        <w:rPr>
          <w:rFonts w:ascii="Arial" w:eastAsia="Times New Roman" w:hAnsi="Arial" w:cs="Arial"/>
          <w:b/>
          <w:bCs/>
          <w:color w:val="111111"/>
          <w:sz w:val="24"/>
          <w:szCs w:val="24"/>
        </w:rPr>
      </w:pPr>
      <w:r w:rsidRPr="00017E0C">
        <w:rPr>
          <w:rFonts w:ascii="Arial" w:eastAsia="Times New Roman" w:hAnsi="Arial" w:cs="Arial"/>
          <w:b/>
          <w:bCs/>
          <w:color w:val="111111"/>
          <w:sz w:val="24"/>
          <w:szCs w:val="24"/>
        </w:rPr>
        <w:lastRenderedPageBreak/>
        <w:t>In Your 40s? You Might be Making These Money Mistakes</w:t>
      </w:r>
    </w:p>
    <w:p w:rsidR="00017E0C" w:rsidRPr="00017E0C" w:rsidRDefault="00017E0C" w:rsidP="00017E0C">
      <w:pPr>
        <w:shd w:val="clear" w:color="auto" w:fill="FFFFFF"/>
        <w:spacing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Another formula (like the one proposed </w:t>
      </w:r>
      <w:hyperlink r:id="rId8" w:tgtFrame="_blank" w:history="1">
        <w:r w:rsidRPr="00017E0C">
          <w:rPr>
            <w:rFonts w:ascii="Arial" w:eastAsia="Times New Roman" w:hAnsi="Arial" w:cs="Arial"/>
            <w:sz w:val="26"/>
            <w:szCs w:val="26"/>
            <w:u w:val="single"/>
          </w:rPr>
          <w:t>by Fidelity</w:t>
        </w:r>
      </w:hyperlink>
      <w:r w:rsidRPr="00017E0C">
        <w:rPr>
          <w:rFonts w:ascii="Arial" w:eastAsia="Times New Roman" w:hAnsi="Arial" w:cs="Arial"/>
          <w:sz w:val="26"/>
          <w:szCs w:val="26"/>
        </w:rPr>
        <w:t>) holds that you should save 25% of your gross salary each year, starting in your 20s. The 25% savings figure may sound daunting, but it includes a combination of </w:t>
      </w:r>
      <w:hyperlink r:id="rId9" w:history="1">
        <w:r w:rsidRPr="00017E0C">
          <w:rPr>
            <w:rFonts w:ascii="Arial" w:eastAsia="Times New Roman" w:hAnsi="Arial" w:cs="Arial"/>
            <w:sz w:val="26"/>
            <w:szCs w:val="26"/>
            <w:u w:val="single"/>
          </w:rPr>
          <w:t>401(k)</w:t>
        </w:r>
      </w:hyperlink>
      <w:r w:rsidRPr="00017E0C">
        <w:rPr>
          <w:rFonts w:ascii="Arial" w:eastAsia="Times New Roman" w:hAnsi="Arial" w:cs="Arial"/>
          <w:sz w:val="26"/>
          <w:szCs w:val="26"/>
        </w:rPr>
        <w:t> withholdings, </w:t>
      </w:r>
      <w:hyperlink r:id="rId10" w:history="1">
        <w:r w:rsidRPr="00017E0C">
          <w:rPr>
            <w:rFonts w:ascii="Arial" w:eastAsia="Times New Roman" w:hAnsi="Arial" w:cs="Arial"/>
            <w:sz w:val="26"/>
            <w:szCs w:val="26"/>
            <w:u w:val="single"/>
          </w:rPr>
          <w:t>employer match</w:t>
        </w:r>
      </w:hyperlink>
      <w:r w:rsidRPr="00017E0C">
        <w:rPr>
          <w:rFonts w:ascii="Arial" w:eastAsia="Times New Roman" w:hAnsi="Arial" w:cs="Arial"/>
          <w:sz w:val="26"/>
          <w:szCs w:val="26"/>
        </w:rPr>
        <w:t>, cash savings, and even debt repayment. Following this formula should allow you to accumulate your full annual salary by age 30. Continuing at the same average savings rate should yield the following:</w:t>
      </w:r>
    </w:p>
    <w:p w:rsidR="00017E0C" w:rsidRPr="00017E0C" w:rsidRDefault="00017E0C" w:rsidP="00017E0C">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35 – two times annual salary</w:t>
      </w:r>
    </w:p>
    <w:p w:rsidR="00017E0C" w:rsidRPr="00017E0C" w:rsidRDefault="00017E0C" w:rsidP="00017E0C">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40 – three times annual salary</w:t>
      </w:r>
    </w:p>
    <w:p w:rsidR="00017E0C" w:rsidRPr="00017E0C" w:rsidRDefault="00017E0C" w:rsidP="00017E0C">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45 – four times annual salary</w:t>
      </w:r>
    </w:p>
    <w:p w:rsidR="00017E0C" w:rsidRPr="00017E0C" w:rsidRDefault="00017E0C" w:rsidP="00017E0C">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50 – five times annual salary</w:t>
      </w:r>
    </w:p>
    <w:p w:rsidR="00017E0C" w:rsidRPr="00017E0C" w:rsidRDefault="00017E0C" w:rsidP="00017E0C">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55 – six times annual salary</w:t>
      </w:r>
    </w:p>
    <w:p w:rsidR="00017E0C" w:rsidRPr="00017E0C" w:rsidRDefault="00017E0C" w:rsidP="00017E0C">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60 – seven times annual salary</w:t>
      </w:r>
    </w:p>
    <w:p w:rsidR="00017E0C" w:rsidRPr="00017E0C" w:rsidRDefault="00017E0C" w:rsidP="00017E0C">
      <w:pPr>
        <w:numPr>
          <w:ilvl w:val="0"/>
          <w:numId w:val="3"/>
        </w:numPr>
        <w:shd w:val="clear" w:color="auto" w:fill="FFFFFF"/>
        <w:spacing w:before="100" w:beforeAutospacing="1"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Age 65 – eight times annual salary</w:t>
      </w:r>
    </w:p>
    <w:p w:rsidR="00017E0C" w:rsidRPr="00017E0C" w:rsidRDefault="00017E0C" w:rsidP="00017E0C">
      <w:pPr>
        <w:shd w:val="clear" w:color="auto" w:fill="FFFFFF"/>
        <w:spacing w:after="0" w:line="240" w:lineRule="auto"/>
        <w:outlineLvl w:val="2"/>
        <w:rPr>
          <w:rFonts w:ascii="Arial" w:eastAsia="Times New Roman" w:hAnsi="Arial" w:cs="Arial"/>
          <w:sz w:val="27"/>
          <w:szCs w:val="27"/>
        </w:rPr>
      </w:pPr>
      <w:r w:rsidRPr="00017E0C">
        <w:rPr>
          <w:rFonts w:ascii="Arial" w:eastAsia="Times New Roman" w:hAnsi="Arial" w:cs="Arial"/>
          <w:sz w:val="27"/>
          <w:szCs w:val="27"/>
        </w:rPr>
        <w:t>How Much Can You Save?</w:t>
      </w:r>
    </w:p>
    <w:p w:rsidR="00017E0C" w:rsidRPr="00017E0C" w:rsidRDefault="00017E0C" w:rsidP="00017E0C">
      <w:pPr>
        <w:shd w:val="clear" w:color="auto" w:fill="FFFFFF"/>
        <w:spacing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Based on figures provided by the </w:t>
      </w:r>
      <w:hyperlink r:id="rId11" w:tgtFrame="_blank" w:history="1">
        <w:r w:rsidRPr="00017E0C">
          <w:rPr>
            <w:rFonts w:ascii="Arial" w:eastAsia="Times New Roman" w:hAnsi="Arial" w:cs="Arial"/>
            <w:sz w:val="26"/>
            <w:szCs w:val="26"/>
            <w:u w:val="single"/>
          </w:rPr>
          <w:t>Bureau of Labor Statistics</w:t>
        </w:r>
      </w:hyperlink>
      <w:r w:rsidRPr="00017E0C">
        <w:rPr>
          <w:rFonts w:ascii="Arial" w:eastAsia="Times New Roman" w:hAnsi="Arial" w:cs="Arial"/>
          <w:sz w:val="26"/>
          <w:szCs w:val="26"/>
        </w:rPr>
        <w:t> (BLS) in its 2015 “Consumer Expenditures Survey,” the percentage of income left over (and available for savings) for workers between the ages of 25 and 74 averages 19.8% on a </w:t>
      </w:r>
      <w:hyperlink r:id="rId12" w:history="1">
        <w:r w:rsidRPr="00017E0C">
          <w:rPr>
            <w:rFonts w:ascii="Arial" w:eastAsia="Times New Roman" w:hAnsi="Arial" w:cs="Arial"/>
            <w:sz w:val="26"/>
            <w:szCs w:val="26"/>
            <w:u w:val="single"/>
          </w:rPr>
          <w:t>pretax</w:t>
        </w:r>
      </w:hyperlink>
      <w:r w:rsidRPr="00017E0C">
        <w:rPr>
          <w:rFonts w:ascii="Arial" w:eastAsia="Times New Roman" w:hAnsi="Arial" w:cs="Arial"/>
          <w:sz w:val="26"/>
          <w:szCs w:val="26"/>
        </w:rPr>
        <w:t> basis. This figure is well above the 15% savings formula above and potentially within the 25% figure, depending on how much comes from things like employer matching and debt repayment. The following is the average pretax percent of income left over after expenditures by age group:</w:t>
      </w:r>
    </w:p>
    <w:p w:rsidR="00017E0C" w:rsidRPr="00017E0C" w:rsidRDefault="00017E0C" w:rsidP="00017E0C">
      <w:pPr>
        <w:numPr>
          <w:ilvl w:val="0"/>
          <w:numId w:val="4"/>
        </w:numPr>
        <w:shd w:val="clear" w:color="auto" w:fill="FFFFFF"/>
        <w:spacing w:before="100" w:beforeAutospacing="1" w:after="100" w:afterAutospacing="1" w:line="240" w:lineRule="auto"/>
        <w:rPr>
          <w:rFonts w:ascii="Arial" w:eastAsia="Times New Roman" w:hAnsi="Arial" w:cs="Arial"/>
          <w:color w:val="111111"/>
          <w:sz w:val="26"/>
          <w:szCs w:val="26"/>
        </w:rPr>
      </w:pPr>
      <w:r w:rsidRPr="00017E0C">
        <w:rPr>
          <w:rFonts w:ascii="Arial" w:eastAsia="Times New Roman" w:hAnsi="Arial" w:cs="Arial"/>
          <w:color w:val="111111"/>
          <w:sz w:val="26"/>
          <w:szCs w:val="26"/>
        </w:rPr>
        <w:t>25 to 34: 19%</w:t>
      </w:r>
    </w:p>
    <w:p w:rsidR="00017E0C" w:rsidRPr="00017E0C" w:rsidRDefault="00017E0C" w:rsidP="00017E0C">
      <w:pPr>
        <w:numPr>
          <w:ilvl w:val="0"/>
          <w:numId w:val="4"/>
        </w:numPr>
        <w:shd w:val="clear" w:color="auto" w:fill="FFFFFF"/>
        <w:spacing w:before="100" w:beforeAutospacing="1" w:after="100" w:afterAutospacing="1" w:line="240" w:lineRule="auto"/>
        <w:rPr>
          <w:rFonts w:ascii="Arial" w:eastAsia="Times New Roman" w:hAnsi="Arial" w:cs="Arial"/>
          <w:color w:val="111111"/>
          <w:sz w:val="26"/>
          <w:szCs w:val="26"/>
        </w:rPr>
      </w:pPr>
      <w:r w:rsidRPr="00017E0C">
        <w:rPr>
          <w:rFonts w:ascii="Arial" w:eastAsia="Times New Roman" w:hAnsi="Arial" w:cs="Arial"/>
          <w:color w:val="111111"/>
          <w:sz w:val="26"/>
          <w:szCs w:val="26"/>
        </w:rPr>
        <w:t>35 to 44: 23%</w:t>
      </w:r>
    </w:p>
    <w:p w:rsidR="00017E0C" w:rsidRPr="00017E0C" w:rsidRDefault="00017E0C" w:rsidP="00017E0C">
      <w:pPr>
        <w:numPr>
          <w:ilvl w:val="0"/>
          <w:numId w:val="4"/>
        </w:numPr>
        <w:shd w:val="clear" w:color="auto" w:fill="FFFFFF"/>
        <w:spacing w:before="100" w:beforeAutospacing="1" w:after="100" w:afterAutospacing="1" w:line="240" w:lineRule="auto"/>
        <w:rPr>
          <w:rFonts w:ascii="Arial" w:eastAsia="Times New Roman" w:hAnsi="Arial" w:cs="Arial"/>
          <w:color w:val="111111"/>
          <w:sz w:val="26"/>
          <w:szCs w:val="26"/>
        </w:rPr>
      </w:pPr>
      <w:r w:rsidRPr="00017E0C">
        <w:rPr>
          <w:rFonts w:ascii="Arial" w:eastAsia="Times New Roman" w:hAnsi="Arial" w:cs="Arial"/>
          <w:color w:val="111111"/>
          <w:sz w:val="26"/>
          <w:szCs w:val="26"/>
        </w:rPr>
        <w:t>45 to 54: 27%</w:t>
      </w:r>
    </w:p>
    <w:p w:rsidR="00017E0C" w:rsidRPr="00017E0C" w:rsidRDefault="00017E0C" w:rsidP="00017E0C">
      <w:pPr>
        <w:numPr>
          <w:ilvl w:val="0"/>
          <w:numId w:val="4"/>
        </w:numPr>
        <w:shd w:val="clear" w:color="auto" w:fill="FFFFFF"/>
        <w:spacing w:before="100" w:beforeAutospacing="1" w:after="100" w:afterAutospacing="1" w:line="240" w:lineRule="auto"/>
        <w:rPr>
          <w:rFonts w:ascii="Arial" w:eastAsia="Times New Roman" w:hAnsi="Arial" w:cs="Arial"/>
          <w:color w:val="111111"/>
          <w:sz w:val="26"/>
          <w:szCs w:val="26"/>
        </w:rPr>
      </w:pPr>
      <w:r w:rsidRPr="00017E0C">
        <w:rPr>
          <w:rFonts w:ascii="Arial" w:eastAsia="Times New Roman" w:hAnsi="Arial" w:cs="Arial"/>
          <w:color w:val="111111"/>
          <w:sz w:val="26"/>
          <w:szCs w:val="26"/>
        </w:rPr>
        <w:t>55 to 64: 22%</w:t>
      </w:r>
    </w:p>
    <w:p w:rsidR="00017E0C" w:rsidRPr="00017E0C" w:rsidRDefault="00017E0C" w:rsidP="00017E0C">
      <w:pPr>
        <w:numPr>
          <w:ilvl w:val="0"/>
          <w:numId w:val="4"/>
        </w:numPr>
        <w:shd w:val="clear" w:color="auto" w:fill="FFFFFF"/>
        <w:spacing w:before="100" w:beforeAutospacing="1" w:after="100" w:afterAutospacing="1" w:line="240" w:lineRule="auto"/>
        <w:rPr>
          <w:rFonts w:ascii="Arial" w:eastAsia="Times New Roman" w:hAnsi="Arial" w:cs="Arial"/>
          <w:color w:val="111111"/>
          <w:sz w:val="26"/>
          <w:szCs w:val="26"/>
        </w:rPr>
      </w:pPr>
      <w:r w:rsidRPr="00017E0C">
        <w:rPr>
          <w:rFonts w:ascii="Arial" w:eastAsia="Times New Roman" w:hAnsi="Arial" w:cs="Arial"/>
          <w:color w:val="111111"/>
          <w:sz w:val="26"/>
          <w:szCs w:val="26"/>
        </w:rPr>
        <w:t>65 to 74: 8%</w:t>
      </w:r>
    </w:p>
    <w:p w:rsidR="00017E0C" w:rsidRPr="00017E0C" w:rsidRDefault="00017E0C" w:rsidP="00017E0C">
      <w:pPr>
        <w:shd w:val="clear" w:color="auto" w:fill="FFFFFF"/>
        <w:spacing w:after="0" w:line="240" w:lineRule="auto"/>
        <w:outlineLvl w:val="2"/>
        <w:rPr>
          <w:rFonts w:ascii="Arial" w:eastAsia="Times New Roman" w:hAnsi="Arial" w:cs="Arial"/>
          <w:sz w:val="27"/>
          <w:szCs w:val="27"/>
        </w:rPr>
      </w:pPr>
      <w:r w:rsidRPr="00017E0C">
        <w:rPr>
          <w:rFonts w:ascii="Arial" w:eastAsia="Times New Roman" w:hAnsi="Arial" w:cs="Arial"/>
          <w:sz w:val="27"/>
          <w:szCs w:val="27"/>
        </w:rPr>
        <w:t>The Bottom Line</w:t>
      </w:r>
    </w:p>
    <w:p w:rsidR="00017E0C" w:rsidRPr="00017E0C" w:rsidRDefault="00017E0C" w:rsidP="00017E0C">
      <w:pPr>
        <w:shd w:val="clear" w:color="auto" w:fill="FFFFFF"/>
        <w:spacing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Given the nearly 20% of gross income savings potential and an actual savings rate of less than 5% of disposable income, most Americans likely have room to increase savings at most stages of their lives.</w:t>
      </w:r>
    </w:p>
    <w:p w:rsidR="00017E0C" w:rsidRPr="00017E0C" w:rsidRDefault="00017E0C" w:rsidP="00017E0C">
      <w:pPr>
        <w:shd w:val="clear" w:color="auto" w:fill="FFFFFF"/>
        <w:spacing w:after="100" w:afterAutospacing="1" w:line="240" w:lineRule="auto"/>
        <w:rPr>
          <w:rFonts w:ascii="Arial" w:eastAsia="Times New Roman" w:hAnsi="Arial" w:cs="Arial"/>
          <w:sz w:val="26"/>
          <w:szCs w:val="26"/>
        </w:rPr>
      </w:pPr>
      <w:r w:rsidRPr="00017E0C">
        <w:rPr>
          <w:rFonts w:ascii="Arial" w:eastAsia="Times New Roman" w:hAnsi="Arial" w:cs="Arial"/>
          <w:sz w:val="26"/>
          <w:szCs w:val="26"/>
        </w:rPr>
        <w:t xml:space="preserve">Whether or not you try to follow the 15% or 25% savings guideline, chances are your actual ability to save will be affected by life events. Sometimes you will be able to save more, and sometimes less. What’s important is to get as close to your savings goal as possible and check your progress at each benchmark to make sure you are staying on track. With the importance of saving for retirement </w:t>
      </w:r>
      <w:r w:rsidRPr="00017E0C">
        <w:rPr>
          <w:rFonts w:ascii="Arial" w:eastAsia="Times New Roman" w:hAnsi="Arial" w:cs="Arial"/>
          <w:sz w:val="26"/>
          <w:szCs w:val="26"/>
        </w:rPr>
        <w:lastRenderedPageBreak/>
        <w:t>being so great, we have made lists of the </w:t>
      </w:r>
      <w:hyperlink r:id="rId13" w:history="1">
        <w:r w:rsidRPr="00017E0C">
          <w:rPr>
            <w:rFonts w:ascii="Arial" w:eastAsia="Times New Roman" w:hAnsi="Arial" w:cs="Arial"/>
            <w:sz w:val="26"/>
            <w:szCs w:val="26"/>
            <w:u w:val="single"/>
          </w:rPr>
          <w:t>best brokers for Roth IRAs</w:t>
        </w:r>
      </w:hyperlink>
      <w:r w:rsidRPr="00017E0C">
        <w:rPr>
          <w:rFonts w:ascii="Arial" w:eastAsia="Times New Roman" w:hAnsi="Arial" w:cs="Arial"/>
          <w:sz w:val="26"/>
          <w:szCs w:val="26"/>
        </w:rPr>
        <w:t> and </w:t>
      </w:r>
      <w:hyperlink r:id="rId14" w:history="1">
        <w:r w:rsidRPr="00017E0C">
          <w:rPr>
            <w:rFonts w:ascii="Arial" w:eastAsia="Times New Roman" w:hAnsi="Arial" w:cs="Arial"/>
            <w:sz w:val="26"/>
            <w:szCs w:val="26"/>
            <w:u w:val="single"/>
          </w:rPr>
          <w:t>IRAs</w:t>
        </w:r>
      </w:hyperlink>
      <w:r w:rsidRPr="00017E0C">
        <w:rPr>
          <w:rFonts w:ascii="Arial" w:eastAsia="Times New Roman" w:hAnsi="Arial" w:cs="Arial"/>
          <w:sz w:val="26"/>
          <w:szCs w:val="26"/>
        </w:rPr>
        <w:t> so you can find the best places to create these retirement accounts.</w:t>
      </w:r>
    </w:p>
    <w:p w:rsidR="00F1279F" w:rsidRDefault="00017E0C">
      <w:hyperlink r:id="rId15" w:history="1">
        <w:r>
          <w:rPr>
            <w:rStyle w:val="Hyperlink"/>
          </w:rPr>
          <w:t>https://www.investopedia.com/retirement/how-much-you-should-have-sa</w:t>
        </w:r>
        <w:bookmarkStart w:id="0" w:name="_GoBack"/>
        <w:bookmarkEnd w:id="0"/>
        <w:r>
          <w:rPr>
            <w:rStyle w:val="Hyperlink"/>
          </w:rPr>
          <w:t>ved-age/</w:t>
        </w:r>
      </w:hyperlink>
    </w:p>
    <w:sectPr w:rsidR="00F1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EB7"/>
    <w:multiLevelType w:val="multilevel"/>
    <w:tmpl w:val="B0B4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C622A"/>
    <w:multiLevelType w:val="multilevel"/>
    <w:tmpl w:val="4216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A364D"/>
    <w:multiLevelType w:val="multilevel"/>
    <w:tmpl w:val="E26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AA411A"/>
    <w:multiLevelType w:val="multilevel"/>
    <w:tmpl w:val="842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0C"/>
    <w:rsid w:val="00017E0C"/>
    <w:rsid w:val="00F1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CC8E"/>
  <w15:chartTrackingRefBased/>
  <w15:docId w15:val="{DFFA61BB-6606-4959-91E8-AA31E384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7E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7E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7E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E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7E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7E0C"/>
    <w:rPr>
      <w:rFonts w:ascii="Times New Roman" w:eastAsia="Times New Roman" w:hAnsi="Times New Roman" w:cs="Times New Roman"/>
      <w:b/>
      <w:bCs/>
      <w:sz w:val="24"/>
      <w:szCs w:val="24"/>
    </w:rPr>
  </w:style>
  <w:style w:type="character" w:customStyle="1" w:styleId="bylinename">
    <w:name w:val="byline__name"/>
    <w:basedOn w:val="DefaultParagraphFont"/>
    <w:rsid w:val="00017E0C"/>
  </w:style>
  <w:style w:type="character" w:styleId="Hyperlink">
    <w:name w:val="Hyperlink"/>
    <w:basedOn w:val="DefaultParagraphFont"/>
    <w:uiPriority w:val="99"/>
    <w:semiHidden/>
    <w:unhideWhenUsed/>
    <w:rsid w:val="00017E0C"/>
    <w:rPr>
      <w:color w:val="0000FF"/>
      <w:u w:val="single"/>
    </w:rPr>
  </w:style>
  <w:style w:type="paragraph" w:styleId="NormalWeb">
    <w:name w:val="Normal (Web)"/>
    <w:basedOn w:val="Normal"/>
    <w:uiPriority w:val="99"/>
    <w:semiHidden/>
    <w:unhideWhenUsed/>
    <w:rsid w:val="00017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7E0C"/>
    <w:rPr>
      <w:i/>
      <w:iCs/>
    </w:rPr>
  </w:style>
  <w:style w:type="character" w:customStyle="1" w:styleId="mntl-sc-block-headingtext">
    <w:name w:val="mntl-sc-block-heading__text"/>
    <w:basedOn w:val="DefaultParagraphFont"/>
    <w:rsid w:val="00017E0C"/>
  </w:style>
  <w:style w:type="character" w:customStyle="1" w:styleId="jw-volume-update">
    <w:name w:val="jw-volume-update"/>
    <w:basedOn w:val="DefaultParagraphFont"/>
    <w:rsid w:val="00017E0C"/>
  </w:style>
  <w:style w:type="character" w:customStyle="1" w:styleId="jw-text">
    <w:name w:val="jw-text"/>
    <w:basedOn w:val="DefaultParagraphFont"/>
    <w:rsid w:val="0001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6700">
      <w:bodyDiv w:val="1"/>
      <w:marLeft w:val="0"/>
      <w:marRight w:val="0"/>
      <w:marTop w:val="0"/>
      <w:marBottom w:val="0"/>
      <w:divBdr>
        <w:top w:val="none" w:sz="0" w:space="0" w:color="auto"/>
        <w:left w:val="none" w:sz="0" w:space="0" w:color="auto"/>
        <w:bottom w:val="none" w:sz="0" w:space="0" w:color="auto"/>
        <w:right w:val="none" w:sz="0" w:space="0" w:color="auto"/>
      </w:divBdr>
      <w:divsChild>
        <w:div w:id="201326975">
          <w:marLeft w:val="0"/>
          <w:marRight w:val="0"/>
          <w:marTop w:val="0"/>
          <w:marBottom w:val="0"/>
          <w:divBdr>
            <w:top w:val="none" w:sz="0" w:space="0" w:color="auto"/>
            <w:left w:val="none" w:sz="0" w:space="0" w:color="auto"/>
            <w:bottom w:val="none" w:sz="0" w:space="0" w:color="auto"/>
            <w:right w:val="none" w:sz="0" w:space="0" w:color="auto"/>
          </w:divBdr>
          <w:divsChild>
            <w:div w:id="360863889">
              <w:marLeft w:val="0"/>
              <w:marRight w:val="0"/>
              <w:marTop w:val="0"/>
              <w:marBottom w:val="0"/>
              <w:divBdr>
                <w:top w:val="none" w:sz="0" w:space="0" w:color="auto"/>
                <w:left w:val="none" w:sz="0" w:space="0" w:color="auto"/>
                <w:bottom w:val="none" w:sz="0" w:space="0" w:color="auto"/>
                <w:right w:val="none" w:sz="0" w:space="0" w:color="auto"/>
              </w:divBdr>
            </w:div>
            <w:div w:id="1229877793">
              <w:marLeft w:val="0"/>
              <w:marRight w:val="0"/>
              <w:marTop w:val="0"/>
              <w:marBottom w:val="0"/>
              <w:divBdr>
                <w:top w:val="none" w:sz="0" w:space="0" w:color="auto"/>
                <w:left w:val="none" w:sz="0" w:space="0" w:color="auto"/>
                <w:bottom w:val="none" w:sz="0" w:space="0" w:color="auto"/>
                <w:right w:val="none" w:sz="0" w:space="0" w:color="auto"/>
              </w:divBdr>
            </w:div>
          </w:divsChild>
        </w:div>
        <w:div w:id="196360503">
          <w:marLeft w:val="0"/>
          <w:marRight w:val="0"/>
          <w:marTop w:val="0"/>
          <w:marBottom w:val="0"/>
          <w:divBdr>
            <w:top w:val="none" w:sz="0" w:space="0" w:color="auto"/>
            <w:left w:val="none" w:sz="0" w:space="0" w:color="auto"/>
            <w:bottom w:val="none" w:sz="0" w:space="0" w:color="auto"/>
            <w:right w:val="none" w:sz="0" w:space="0" w:color="auto"/>
          </w:divBdr>
          <w:divsChild>
            <w:div w:id="1970160014">
              <w:marLeft w:val="0"/>
              <w:marRight w:val="0"/>
              <w:marTop w:val="0"/>
              <w:marBottom w:val="0"/>
              <w:divBdr>
                <w:top w:val="none" w:sz="0" w:space="0" w:color="auto"/>
                <w:left w:val="none" w:sz="0" w:space="0" w:color="auto"/>
                <w:bottom w:val="none" w:sz="0" w:space="0" w:color="auto"/>
                <w:right w:val="none" w:sz="0" w:space="0" w:color="auto"/>
              </w:divBdr>
              <w:divsChild>
                <w:div w:id="2039307127">
                  <w:marLeft w:val="0"/>
                  <w:marRight w:val="0"/>
                  <w:marTop w:val="0"/>
                  <w:marBottom w:val="0"/>
                  <w:divBdr>
                    <w:top w:val="none" w:sz="0" w:space="0" w:color="auto"/>
                    <w:left w:val="none" w:sz="0" w:space="0" w:color="auto"/>
                    <w:bottom w:val="none" w:sz="0" w:space="0" w:color="auto"/>
                    <w:right w:val="none" w:sz="0" w:space="0" w:color="auto"/>
                  </w:divBdr>
                </w:div>
                <w:div w:id="184640293">
                  <w:marLeft w:val="0"/>
                  <w:marRight w:val="0"/>
                  <w:marTop w:val="0"/>
                  <w:marBottom w:val="0"/>
                  <w:divBdr>
                    <w:top w:val="none" w:sz="0" w:space="0" w:color="auto"/>
                    <w:left w:val="none" w:sz="0" w:space="0" w:color="auto"/>
                    <w:bottom w:val="none" w:sz="0" w:space="0" w:color="auto"/>
                    <w:right w:val="none" w:sz="0" w:space="0" w:color="auto"/>
                  </w:divBdr>
                </w:div>
                <w:div w:id="390806190">
                  <w:marLeft w:val="0"/>
                  <w:marRight w:val="0"/>
                  <w:marTop w:val="0"/>
                  <w:marBottom w:val="0"/>
                  <w:divBdr>
                    <w:top w:val="none" w:sz="0" w:space="0" w:color="auto"/>
                    <w:left w:val="none" w:sz="0" w:space="0" w:color="auto"/>
                    <w:bottom w:val="none" w:sz="0" w:space="0" w:color="auto"/>
                    <w:right w:val="none" w:sz="0" w:space="0" w:color="auto"/>
                  </w:divBdr>
                </w:div>
                <w:div w:id="875582210">
                  <w:marLeft w:val="0"/>
                  <w:marRight w:val="0"/>
                  <w:marTop w:val="0"/>
                  <w:marBottom w:val="0"/>
                  <w:divBdr>
                    <w:top w:val="none" w:sz="0" w:space="0" w:color="auto"/>
                    <w:left w:val="none" w:sz="0" w:space="0" w:color="auto"/>
                    <w:bottom w:val="none" w:sz="0" w:space="0" w:color="auto"/>
                    <w:right w:val="none" w:sz="0" w:space="0" w:color="auto"/>
                  </w:divBdr>
                </w:div>
                <w:div w:id="2054380907">
                  <w:marLeft w:val="0"/>
                  <w:marRight w:val="0"/>
                  <w:marTop w:val="0"/>
                  <w:marBottom w:val="0"/>
                  <w:divBdr>
                    <w:top w:val="none" w:sz="0" w:space="0" w:color="auto"/>
                    <w:left w:val="none" w:sz="0" w:space="0" w:color="auto"/>
                    <w:bottom w:val="none" w:sz="0" w:space="0" w:color="auto"/>
                    <w:right w:val="none" w:sz="0" w:space="0" w:color="auto"/>
                  </w:divBdr>
                </w:div>
                <w:div w:id="1141456859">
                  <w:marLeft w:val="0"/>
                  <w:marRight w:val="0"/>
                  <w:marTop w:val="0"/>
                  <w:marBottom w:val="0"/>
                  <w:divBdr>
                    <w:top w:val="none" w:sz="0" w:space="0" w:color="auto"/>
                    <w:left w:val="none" w:sz="0" w:space="0" w:color="auto"/>
                    <w:bottom w:val="none" w:sz="0" w:space="0" w:color="auto"/>
                    <w:right w:val="none" w:sz="0" w:space="0" w:color="auto"/>
                  </w:divBdr>
                  <w:divsChild>
                    <w:div w:id="1489206920">
                      <w:marLeft w:val="0"/>
                      <w:marRight w:val="0"/>
                      <w:marTop w:val="0"/>
                      <w:marBottom w:val="0"/>
                      <w:divBdr>
                        <w:top w:val="none" w:sz="0" w:space="0" w:color="auto"/>
                        <w:left w:val="none" w:sz="0" w:space="0" w:color="auto"/>
                        <w:bottom w:val="none" w:sz="0" w:space="0" w:color="auto"/>
                        <w:right w:val="none" w:sz="0" w:space="0" w:color="auto"/>
                      </w:divBdr>
                      <w:divsChild>
                        <w:div w:id="2061130946">
                          <w:marLeft w:val="-15"/>
                          <w:marRight w:val="-15"/>
                          <w:marTop w:val="0"/>
                          <w:marBottom w:val="0"/>
                          <w:divBdr>
                            <w:top w:val="none" w:sz="0" w:space="0" w:color="auto"/>
                            <w:left w:val="none" w:sz="0" w:space="0" w:color="auto"/>
                            <w:bottom w:val="none" w:sz="0" w:space="0" w:color="auto"/>
                            <w:right w:val="none" w:sz="0" w:space="0" w:color="auto"/>
                          </w:divBdr>
                        </w:div>
                        <w:div w:id="834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5640">
                  <w:marLeft w:val="0"/>
                  <w:marRight w:val="0"/>
                  <w:marTop w:val="0"/>
                  <w:marBottom w:val="0"/>
                  <w:divBdr>
                    <w:top w:val="none" w:sz="0" w:space="0" w:color="auto"/>
                    <w:left w:val="none" w:sz="0" w:space="0" w:color="auto"/>
                    <w:bottom w:val="none" w:sz="0" w:space="0" w:color="auto"/>
                    <w:right w:val="none" w:sz="0" w:space="0" w:color="auto"/>
                  </w:divBdr>
                </w:div>
                <w:div w:id="708530206">
                  <w:marLeft w:val="0"/>
                  <w:marRight w:val="0"/>
                  <w:marTop w:val="0"/>
                  <w:marBottom w:val="0"/>
                  <w:divBdr>
                    <w:top w:val="none" w:sz="0" w:space="0" w:color="auto"/>
                    <w:left w:val="none" w:sz="0" w:space="0" w:color="auto"/>
                    <w:bottom w:val="none" w:sz="0" w:space="0" w:color="auto"/>
                    <w:right w:val="none" w:sz="0" w:space="0" w:color="auto"/>
                  </w:divBdr>
                </w:div>
                <w:div w:id="973483529">
                  <w:marLeft w:val="0"/>
                  <w:marRight w:val="0"/>
                  <w:marTop w:val="0"/>
                  <w:marBottom w:val="0"/>
                  <w:divBdr>
                    <w:top w:val="none" w:sz="0" w:space="0" w:color="auto"/>
                    <w:left w:val="none" w:sz="0" w:space="0" w:color="auto"/>
                    <w:bottom w:val="none" w:sz="0" w:space="0" w:color="auto"/>
                    <w:right w:val="none" w:sz="0" w:space="0" w:color="auto"/>
                  </w:divBdr>
                </w:div>
                <w:div w:id="472600969">
                  <w:marLeft w:val="0"/>
                  <w:marRight w:val="0"/>
                  <w:marTop w:val="0"/>
                  <w:marBottom w:val="0"/>
                  <w:divBdr>
                    <w:top w:val="none" w:sz="0" w:space="0" w:color="auto"/>
                    <w:left w:val="none" w:sz="0" w:space="0" w:color="auto"/>
                    <w:bottom w:val="none" w:sz="0" w:space="0" w:color="auto"/>
                    <w:right w:val="none" w:sz="0" w:space="0" w:color="auto"/>
                  </w:divBdr>
                </w:div>
                <w:div w:id="343477561">
                  <w:marLeft w:val="0"/>
                  <w:marRight w:val="0"/>
                  <w:marTop w:val="0"/>
                  <w:marBottom w:val="0"/>
                  <w:divBdr>
                    <w:top w:val="none" w:sz="0" w:space="0" w:color="auto"/>
                    <w:left w:val="none" w:sz="0" w:space="0" w:color="auto"/>
                    <w:bottom w:val="none" w:sz="0" w:space="0" w:color="auto"/>
                    <w:right w:val="none" w:sz="0" w:space="0" w:color="auto"/>
                  </w:divBdr>
                </w:div>
                <w:div w:id="1205484215">
                  <w:marLeft w:val="0"/>
                  <w:marRight w:val="0"/>
                  <w:marTop w:val="0"/>
                  <w:marBottom w:val="0"/>
                  <w:divBdr>
                    <w:top w:val="none" w:sz="0" w:space="0" w:color="auto"/>
                    <w:left w:val="none" w:sz="0" w:space="0" w:color="auto"/>
                    <w:bottom w:val="none" w:sz="0" w:space="0" w:color="auto"/>
                    <w:right w:val="none" w:sz="0" w:space="0" w:color="auto"/>
                  </w:divBdr>
                </w:div>
                <w:div w:id="256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delity.com/viewpoints/retirement/how-much-do-i-need-to-retire" TargetMode="External"/><Relationship Id="rId13" Type="http://schemas.openxmlformats.org/officeDocument/2006/relationships/hyperlink" Target="https://www.investopedia.com/best-brokers-for-roth-iras-4587878" TargetMode="External"/><Relationship Id="rId3" Type="http://schemas.openxmlformats.org/officeDocument/2006/relationships/settings" Target="settings.xml"/><Relationship Id="rId7" Type="http://schemas.openxmlformats.org/officeDocument/2006/relationships/hyperlink" Target="https://www.investopedia.com/terms/g/grossincome.asp" TargetMode="External"/><Relationship Id="rId12" Type="http://schemas.openxmlformats.org/officeDocument/2006/relationships/hyperlink" Target="https://www.investopedia.com/terms/p/pretax-earnings.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vestopedia.com/terms/r/returnoninvestment.asp" TargetMode="External"/><Relationship Id="rId11" Type="http://schemas.openxmlformats.org/officeDocument/2006/relationships/hyperlink" Target="https://www.bls.gov/opub/reports/consumer-expenditures/2015/home.htm" TargetMode="External"/><Relationship Id="rId5" Type="http://schemas.openxmlformats.org/officeDocument/2006/relationships/hyperlink" Target="https://www.investopedia.com/advisor-network/articles/set-specific-goals-manage-your-wealth-better/" TargetMode="External"/><Relationship Id="rId15" Type="http://schemas.openxmlformats.org/officeDocument/2006/relationships/hyperlink" Target="https://www.investopedia.com/retirement/how-much-you-should-have-saved-age/" TargetMode="External"/><Relationship Id="rId10" Type="http://schemas.openxmlformats.org/officeDocument/2006/relationships/hyperlink" Target="https://www.investopedia.com/terms/m/matchingcontribution.asp" TargetMode="External"/><Relationship Id="rId4" Type="http://schemas.openxmlformats.org/officeDocument/2006/relationships/webSettings" Target="webSettings.xml"/><Relationship Id="rId9" Type="http://schemas.openxmlformats.org/officeDocument/2006/relationships/hyperlink" Target="https://www.investopedia.com/terms/1/401kplan.asp" TargetMode="External"/><Relationship Id="rId14" Type="http://schemas.openxmlformats.org/officeDocument/2006/relationships/hyperlink" Target="https://www.investopedia.com/best-brokers-for-iras-4587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Shaw</dc:creator>
  <cp:keywords/>
  <dc:description/>
  <cp:lastModifiedBy>Heather Shaw</cp:lastModifiedBy>
  <cp:revision>1</cp:revision>
  <dcterms:created xsi:type="dcterms:W3CDTF">2019-05-07T14:52:00Z</dcterms:created>
  <dcterms:modified xsi:type="dcterms:W3CDTF">2019-05-07T14:54:00Z</dcterms:modified>
</cp:coreProperties>
</file>